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46A1C097" w:rsidR="00F66DD2" w:rsidRPr="0060789C" w:rsidRDefault="0069628F">
      <w:pPr>
        <w:rPr>
          <w:rFonts w:eastAsia="DengXian"/>
          <w:sz w:val="48"/>
          <w:szCs w:val="48"/>
          <w:lang w:eastAsia="zh-CN"/>
        </w:rPr>
      </w:pPr>
      <w:r>
        <w:rPr>
          <w:rFonts w:eastAsia="DengXian"/>
          <w:sz w:val="48"/>
          <w:szCs w:val="48"/>
          <w:lang w:eastAsia="zh-CN"/>
        </w:rPr>
        <w:t>Inbound Keywords</w:t>
      </w:r>
    </w:p>
    <w:p w14:paraId="45DCCDF4" w14:textId="3B9A60DE" w:rsidR="00F66DD2" w:rsidRPr="00F66DD2" w:rsidRDefault="00F66DD2">
      <w:pPr>
        <w:rPr>
          <w:b/>
          <w:bCs/>
          <w:sz w:val="18"/>
          <w:szCs w:val="18"/>
        </w:rPr>
      </w:pPr>
      <w:r>
        <w:rPr>
          <w:b/>
          <w:bCs/>
          <w:sz w:val="18"/>
          <w:szCs w:val="18"/>
        </w:rPr>
        <w:t>CRITICAL INFORMATION SUMMARY</w:t>
      </w:r>
    </w:p>
    <w:p w14:paraId="0F415A81" w14:textId="5E0A77A6" w:rsidR="00CE6BD1" w:rsidRPr="00F66DD2" w:rsidRDefault="00F66DD2">
      <w:pPr>
        <w:rPr>
          <w:sz w:val="20"/>
          <w:szCs w:val="20"/>
        </w:rPr>
      </w:pPr>
      <w:r>
        <w:rPr>
          <w:sz w:val="20"/>
          <w:szCs w:val="20"/>
        </w:rPr>
        <w:t xml:space="preserve">This document summarises the </w:t>
      </w:r>
      <w:r w:rsidR="0069628F">
        <w:rPr>
          <w:sz w:val="20"/>
          <w:szCs w:val="20"/>
        </w:rPr>
        <w:t>Inbound Keywords</w:t>
      </w:r>
      <w:r w:rsidR="00AD5EC5">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 xml:space="preserve">Legal | </w:t>
        </w:r>
        <w:proofErr w:type="spellStart"/>
        <w:r w:rsidR="00E3428E" w:rsidRPr="00715FDC">
          <w:rPr>
            <w:rStyle w:val="Hyperlink"/>
            <w:sz w:val="20"/>
            <w:szCs w:val="20"/>
          </w:rPr>
          <w:t>IntelliSMS</w:t>
        </w:r>
        <w:proofErr w:type="spellEnd"/>
        <w:r w:rsidR="00E3428E" w:rsidRPr="00715FDC">
          <w:rPr>
            <w:rStyle w:val="Hyperlink"/>
            <w:sz w:val="20"/>
            <w:szCs w:val="20"/>
          </w:rPr>
          <w:t xml:space="preserve">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0B335C3E" w:rsidR="00F66DD2" w:rsidRDefault="0069628F">
            <w:r>
              <w:t>Inbound Keywords</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702B12D3" w:rsidR="00B45B91" w:rsidRPr="00A02823" w:rsidRDefault="009642F8" w:rsidP="00B45B91">
            <w:r w:rsidRPr="009642F8">
              <w:t>The Inbound Keywords feature allows customers to define specific words or phrases that recipients can reply with via SMS to trigger an automated</w:t>
            </w:r>
            <w:r>
              <w:t xml:space="preserve"> reply</w:t>
            </w:r>
            <w:r w:rsidRPr="009642F8">
              <w:t xml:space="preserve">. When a recipient sends an SMS containing a configured keyword, the </w:t>
            </w:r>
            <w:proofErr w:type="spellStart"/>
            <w:r w:rsidRPr="009642F8">
              <w:t>IntelliSMS</w:t>
            </w:r>
            <w:proofErr w:type="spellEnd"/>
            <w:r w:rsidRPr="009642F8">
              <w:t xml:space="preserve"> platform detects the keyword and sends an automated reply to the sender in the form of an SMS, and a notification can also be sent to the assigned agent. This feature is commonly used by real</w:t>
            </w:r>
            <w:r w:rsidRPr="009642F8">
              <w:noBreakHyphen/>
              <w:t>estate customers to capture inbound leads, where prospects reply with specific keywords (such as a property</w:t>
            </w:r>
            <w:r>
              <w:t xml:space="preserve"> address</w:t>
            </w:r>
            <w:r w:rsidRPr="009642F8">
              <w:t xml:space="preserve"> reference) to receive property information, usually delivered via a link in the SMS.</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530E4130" w:rsidR="001B33B8" w:rsidRDefault="009642F8" w:rsidP="002F21CB">
            <w:r w:rsidRPr="009642F8">
              <w:t xml:space="preserve">Dedicated number is required </w:t>
            </w:r>
            <w:r w:rsidR="00695328">
              <w:t>for the usage of</w:t>
            </w:r>
            <w:r w:rsidRPr="009642F8">
              <w:t xml:space="preserve"> this service. Where you lease a dedicated number as part of the service,</w:t>
            </w:r>
            <w:r w:rsidR="007A31C0">
              <w:t xml:space="preserve"> or bring in your own dedicated number,</w:t>
            </w:r>
            <w:r w:rsidRPr="009642F8">
              <w:t xml:space="preserve"> a recurring </w:t>
            </w:r>
            <w:r w:rsidR="007A31C0">
              <w:t>monthly</w:t>
            </w:r>
            <w:r w:rsidRPr="009642F8">
              <w:t xml:space="preserve"> fee will apply, as set out in your agreement with us.</w:t>
            </w:r>
            <w:r w:rsidR="0069532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64076EC8" w14:textId="36A6B78D" w:rsidR="00C65DAC" w:rsidRPr="006325A5" w:rsidRDefault="00C65DAC" w:rsidP="006325A5">
            <w:pPr>
              <w:pStyle w:val="ListParagraph"/>
              <w:numPr>
                <w:ilvl w:val="0"/>
                <w:numId w:val="3"/>
              </w:numPr>
              <w:rPr>
                <w:rFonts w:cstheme="minorHAnsi"/>
              </w:rPr>
            </w:pPr>
            <w:r w:rsidRPr="006325A5">
              <w:rPr>
                <w:rFonts w:asciiTheme="minorHAnsi" w:hAnsiTheme="minorHAnsi" w:cstheme="minorHAnsi"/>
                <w:sz w:val="22"/>
              </w:rPr>
              <w:t>Access to WebApp portal</w:t>
            </w:r>
          </w:p>
          <w:p w14:paraId="0C31E486" w14:textId="52FAD504" w:rsidR="00C65DAC" w:rsidRPr="006325A5" w:rsidRDefault="00C65DAC" w:rsidP="006325A5">
            <w:pPr>
              <w:pStyle w:val="ListParagraph"/>
              <w:numPr>
                <w:ilvl w:val="0"/>
                <w:numId w:val="3"/>
              </w:numPr>
              <w:spacing w:after="0"/>
              <w:rPr>
                <w:rFonts w:cstheme="minorHAnsi"/>
              </w:rPr>
            </w:pPr>
            <w:r w:rsidRPr="006325A5">
              <w:rPr>
                <w:rFonts w:asciiTheme="minorHAnsi" w:hAnsiTheme="minorHAnsi" w:cstheme="minorHAnsi"/>
                <w:sz w:val="22"/>
              </w:rPr>
              <w:t>Virtual Number Leasing</w:t>
            </w:r>
          </w:p>
          <w:p w14:paraId="71189170" w14:textId="5CBD49C0" w:rsidR="00C65DAC" w:rsidRPr="006325A5" w:rsidRDefault="00C65DAC" w:rsidP="006325A5">
            <w:pPr>
              <w:pStyle w:val="ListParagraph"/>
              <w:numPr>
                <w:ilvl w:val="0"/>
                <w:numId w:val="3"/>
              </w:numPr>
              <w:spacing w:after="0"/>
              <w:rPr>
                <w:rFonts w:cstheme="minorHAnsi"/>
              </w:rPr>
            </w:pPr>
            <w:r w:rsidRPr="006325A5">
              <w:rPr>
                <w:rFonts w:asciiTheme="minorHAnsi" w:hAnsiTheme="minorHAnsi" w:cstheme="minorHAnsi"/>
                <w:sz w:val="22"/>
              </w:rPr>
              <w:t>Reporting to check outbound and inbound SMS messages</w:t>
            </w:r>
          </w:p>
          <w:p w14:paraId="5CB66776" w14:textId="7A18A913" w:rsidR="00C65DAC" w:rsidRPr="006325A5" w:rsidRDefault="00C65DAC" w:rsidP="006325A5">
            <w:pPr>
              <w:pStyle w:val="ListParagraph"/>
              <w:numPr>
                <w:ilvl w:val="0"/>
                <w:numId w:val="3"/>
              </w:numPr>
              <w:spacing w:after="0"/>
              <w:rPr>
                <w:rFonts w:cstheme="minorHAnsi"/>
              </w:rPr>
            </w:pPr>
            <w:r w:rsidRPr="006325A5">
              <w:rPr>
                <w:rFonts w:asciiTheme="minorHAnsi" w:hAnsiTheme="minorHAnsi" w:cstheme="minorHAnsi"/>
                <w:sz w:val="22"/>
              </w:rPr>
              <w:t>Access to keywords configuration page</w:t>
            </w:r>
          </w:p>
          <w:p w14:paraId="5D51E78C" w14:textId="7123001E" w:rsidR="00C65DAC" w:rsidRDefault="00C65DAC" w:rsidP="00A16C48"/>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04875296" w:rsidR="005D7E21" w:rsidRDefault="005D7E21" w:rsidP="00CE6BD1">
            <w:r>
              <w:t xml:space="preserve">SMS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lastRenderedPageBreak/>
        <w:t>INFORMATION ABOUT THE SERVICE</w:t>
      </w:r>
    </w:p>
    <w:p w14:paraId="42CC7E18" w14:textId="23F2C39E" w:rsidR="00F66DD2" w:rsidRDefault="00E27833">
      <w:pPr>
        <w:rPr>
          <w:b/>
          <w:bCs/>
        </w:rPr>
      </w:pPr>
      <w:r w:rsidRPr="00E27833">
        <w:rPr>
          <w:b/>
          <w:bCs/>
        </w:rPr>
        <w:t>Availability/Eligibility</w:t>
      </w:r>
    </w:p>
    <w:p w14:paraId="040A9EF4" w14:textId="7C86DF4B" w:rsidR="00BA25CB" w:rsidRDefault="00BA25CB">
      <w:r>
        <w:t xml:space="preserve">You are eligible to purchase </w:t>
      </w:r>
      <w:r w:rsidR="0069628F">
        <w:t>Inbound Keywords</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7D581C6" w14:textId="0A6E524A" w:rsidR="00695328" w:rsidRPr="00695328" w:rsidRDefault="00695328" w:rsidP="00695328">
      <w:r>
        <w:t>You are required to have a dedicated number</w:t>
      </w:r>
      <w:r w:rsidRPr="00695328">
        <w:t xml:space="preserve"> to use this service.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 xml:space="preserve">onthly </w:t>
      </w:r>
      <w:r w:rsidRPr="0060789C">
        <w:t>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 xml:space="preserve">Legal | </w:t>
        </w:r>
        <w:proofErr w:type="spellStart"/>
        <w:r w:rsidR="00993401" w:rsidRPr="00993401">
          <w:rPr>
            <w:rStyle w:val="Hyperlink"/>
            <w:rFonts w:eastAsia="DengXian"/>
            <w:lang w:eastAsia="zh-CN"/>
          </w:rPr>
          <w:t>IntelliSMS</w:t>
        </w:r>
        <w:proofErr w:type="spellEnd"/>
        <w:r w:rsidR="00993401" w:rsidRPr="00993401">
          <w:rPr>
            <w:rStyle w:val="Hyperlink"/>
            <w:rFonts w:eastAsia="DengXian"/>
            <w:lang w:eastAsia="zh-CN"/>
          </w:rPr>
          <w:t xml:space="preserve">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663BF676" w14:textId="77777777" w:rsidR="00695328" w:rsidRDefault="00695328" w:rsidP="00CE6BD1">
      <w:pPr>
        <w:keepNext/>
        <w:keepLines/>
        <w:rPr>
          <w:rFonts w:cstheme="minorHAnsi"/>
          <w:b/>
          <w:bCs/>
        </w:rPr>
      </w:pPr>
    </w:p>
    <w:p w14:paraId="3CCFE60B" w14:textId="28552A14"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3E27" w14:textId="77777777" w:rsidR="0066170B" w:rsidRDefault="0066170B" w:rsidP="00F66DD2">
      <w:pPr>
        <w:spacing w:after="0" w:line="240" w:lineRule="auto"/>
      </w:pPr>
      <w:r>
        <w:separator/>
      </w:r>
    </w:p>
  </w:endnote>
  <w:endnote w:type="continuationSeparator" w:id="0">
    <w:p w14:paraId="3041DDF9" w14:textId="77777777" w:rsidR="0066170B" w:rsidRDefault="0066170B"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4084" w14:textId="77777777" w:rsidR="0066170B" w:rsidRDefault="0066170B" w:rsidP="00F66DD2">
      <w:pPr>
        <w:spacing w:after="0" w:line="240" w:lineRule="auto"/>
      </w:pPr>
      <w:r>
        <w:separator/>
      </w:r>
    </w:p>
  </w:footnote>
  <w:footnote w:type="continuationSeparator" w:id="0">
    <w:p w14:paraId="0F58CDD2" w14:textId="77777777" w:rsidR="0066170B" w:rsidRDefault="0066170B"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78C8D329" w14:textId="77777777" w:rsidR="006325A5" w:rsidRDefault="006325A5" w:rsidP="006325A5">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4F0ED91D" w14:textId="565AE9D1" w:rsidR="006325A5" w:rsidRPr="006325A5" w:rsidRDefault="006325A5" w:rsidP="006325A5">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78C8D329" w14:textId="77777777" w:rsidR="006325A5" w:rsidRDefault="006325A5" w:rsidP="006325A5">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4F0ED91D" w14:textId="565AE9D1" w:rsidR="006325A5" w:rsidRPr="006325A5" w:rsidRDefault="006325A5" w:rsidP="006325A5">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01BE5466" w:rsidR="00CE6BD1" w:rsidRDefault="006325A5" w:rsidP="00F66DD2">
    <w:pPr>
      <w:tabs>
        <w:tab w:val="left" w:pos="5854"/>
      </w:tabs>
      <w:spacing w:line="160" w:lineRule="exact"/>
      <w:ind w:right="400"/>
      <w:rPr>
        <w:rFonts w:cs="Arial"/>
        <w:sz w:val="14"/>
        <w:szCs w:val="14"/>
      </w:rPr>
    </w:pPr>
    <w:sdt>
      <w:sdtPr>
        <w:rPr>
          <w:rFonts w:cs="Arial"/>
          <w:sz w:val="14"/>
          <w:szCs w:val="14"/>
        </w:rPr>
        <w:id w:val="-76591306"/>
        <w:docPartObj>
          <w:docPartGallery w:val="Watermarks"/>
          <w:docPartUnique/>
        </w:docPartObj>
      </w:sdtPr>
      <w:sdtEndPr/>
      <w:sdtContent>
        <w:r>
          <w:rPr>
            <w:rFonts w:cs="Arial"/>
            <w:noProof/>
            <w:sz w:val="14"/>
            <w:szCs w:val="14"/>
          </w:rPr>
          <w:pict w14:anchorId="0A704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6BD1"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00CE6BD1"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BD1"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E6BD1">
      <w:rPr>
        <w:rFonts w:cs="Arial"/>
        <w:sz w:val="14"/>
        <w:szCs w:val="14"/>
      </w:rPr>
      <w:tab/>
    </w:r>
    <w:r w:rsidR="00CE6BD1">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667D29"/>
    <w:multiLevelType w:val="multilevel"/>
    <w:tmpl w:val="BDD8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7"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9"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4"/>
  </w:num>
  <w:num w:numId="2" w16cid:durableId="631598124">
    <w:abstractNumId w:val="0"/>
  </w:num>
  <w:num w:numId="3" w16cid:durableId="1565219612">
    <w:abstractNumId w:val="7"/>
  </w:num>
  <w:num w:numId="4" w16cid:durableId="2073693634">
    <w:abstractNumId w:val="9"/>
  </w:num>
  <w:num w:numId="5" w16cid:durableId="1096243219">
    <w:abstractNumId w:val="5"/>
  </w:num>
  <w:num w:numId="6" w16cid:durableId="1214003653">
    <w:abstractNumId w:val="8"/>
  </w:num>
  <w:num w:numId="7" w16cid:durableId="1726905412">
    <w:abstractNumId w:val="6"/>
  </w:num>
  <w:num w:numId="8" w16cid:durableId="1564370575">
    <w:abstractNumId w:val="1"/>
  </w:num>
  <w:num w:numId="9" w16cid:durableId="558054594">
    <w:abstractNumId w:val="2"/>
  </w:num>
  <w:num w:numId="10" w16cid:durableId="590158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B353A"/>
    <w:rsid w:val="000C7DB9"/>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653C"/>
    <w:rsid w:val="002274B7"/>
    <w:rsid w:val="0026783C"/>
    <w:rsid w:val="00273098"/>
    <w:rsid w:val="002C2B3D"/>
    <w:rsid w:val="002D6EB9"/>
    <w:rsid w:val="002D7C32"/>
    <w:rsid w:val="002F21CB"/>
    <w:rsid w:val="003501E7"/>
    <w:rsid w:val="003601BF"/>
    <w:rsid w:val="00373A3C"/>
    <w:rsid w:val="0038725B"/>
    <w:rsid w:val="003A3CA9"/>
    <w:rsid w:val="003E43B3"/>
    <w:rsid w:val="00401E4A"/>
    <w:rsid w:val="004033AC"/>
    <w:rsid w:val="0041223A"/>
    <w:rsid w:val="00412274"/>
    <w:rsid w:val="00432AAB"/>
    <w:rsid w:val="0045232B"/>
    <w:rsid w:val="00496FD6"/>
    <w:rsid w:val="004B09B9"/>
    <w:rsid w:val="004B0BDB"/>
    <w:rsid w:val="004B2F00"/>
    <w:rsid w:val="004D1365"/>
    <w:rsid w:val="004D5860"/>
    <w:rsid w:val="004F7A3B"/>
    <w:rsid w:val="00526738"/>
    <w:rsid w:val="00530A33"/>
    <w:rsid w:val="0053240A"/>
    <w:rsid w:val="00552F00"/>
    <w:rsid w:val="005624CE"/>
    <w:rsid w:val="00593650"/>
    <w:rsid w:val="0059475F"/>
    <w:rsid w:val="005D7E21"/>
    <w:rsid w:val="0060789C"/>
    <w:rsid w:val="0061274A"/>
    <w:rsid w:val="006325A5"/>
    <w:rsid w:val="00643645"/>
    <w:rsid w:val="0066170B"/>
    <w:rsid w:val="0068609F"/>
    <w:rsid w:val="00687DB3"/>
    <w:rsid w:val="00695328"/>
    <w:rsid w:val="0069628F"/>
    <w:rsid w:val="006A2DB4"/>
    <w:rsid w:val="006B69E7"/>
    <w:rsid w:val="006F2A5F"/>
    <w:rsid w:val="00715FDC"/>
    <w:rsid w:val="00721D7E"/>
    <w:rsid w:val="00767A98"/>
    <w:rsid w:val="00794EB8"/>
    <w:rsid w:val="007A31C0"/>
    <w:rsid w:val="007D3C22"/>
    <w:rsid w:val="007F664D"/>
    <w:rsid w:val="00811603"/>
    <w:rsid w:val="00811D29"/>
    <w:rsid w:val="0083484E"/>
    <w:rsid w:val="008420FD"/>
    <w:rsid w:val="008525FF"/>
    <w:rsid w:val="0085391C"/>
    <w:rsid w:val="008575E0"/>
    <w:rsid w:val="00906B64"/>
    <w:rsid w:val="0090783D"/>
    <w:rsid w:val="00914FAD"/>
    <w:rsid w:val="00926BED"/>
    <w:rsid w:val="00935135"/>
    <w:rsid w:val="009642F8"/>
    <w:rsid w:val="00966501"/>
    <w:rsid w:val="00973D93"/>
    <w:rsid w:val="009872DD"/>
    <w:rsid w:val="00993401"/>
    <w:rsid w:val="0099352C"/>
    <w:rsid w:val="009E1479"/>
    <w:rsid w:val="009F66A8"/>
    <w:rsid w:val="00A02823"/>
    <w:rsid w:val="00A160CA"/>
    <w:rsid w:val="00A163FE"/>
    <w:rsid w:val="00A16C48"/>
    <w:rsid w:val="00A2043A"/>
    <w:rsid w:val="00A24179"/>
    <w:rsid w:val="00A403FC"/>
    <w:rsid w:val="00A70000"/>
    <w:rsid w:val="00A816FD"/>
    <w:rsid w:val="00A87101"/>
    <w:rsid w:val="00AA1297"/>
    <w:rsid w:val="00AC31B5"/>
    <w:rsid w:val="00AD5EC5"/>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65DAC"/>
    <w:rsid w:val="00C87304"/>
    <w:rsid w:val="00CB7E24"/>
    <w:rsid w:val="00CD1E74"/>
    <w:rsid w:val="00CD4AD6"/>
    <w:rsid w:val="00CE6BD1"/>
    <w:rsid w:val="00D41C42"/>
    <w:rsid w:val="00D879F7"/>
    <w:rsid w:val="00DE7AB0"/>
    <w:rsid w:val="00DF1920"/>
    <w:rsid w:val="00E016C9"/>
    <w:rsid w:val="00E04117"/>
    <w:rsid w:val="00E11FD2"/>
    <w:rsid w:val="00E20610"/>
    <w:rsid w:val="00E27833"/>
    <w:rsid w:val="00E3428E"/>
    <w:rsid w:val="00E343AA"/>
    <w:rsid w:val="00E519BD"/>
    <w:rsid w:val="00E656D7"/>
    <w:rsid w:val="00E77E59"/>
    <w:rsid w:val="00E810CC"/>
    <w:rsid w:val="00E8723C"/>
    <w:rsid w:val="00E9236C"/>
    <w:rsid w:val="00E95083"/>
    <w:rsid w:val="00EB04A4"/>
    <w:rsid w:val="00EB7669"/>
    <w:rsid w:val="00ED1747"/>
    <w:rsid w:val="00ED3D95"/>
    <w:rsid w:val="00EF5197"/>
    <w:rsid w:val="00F05F04"/>
    <w:rsid w:val="00F06194"/>
    <w:rsid w:val="00F14C0B"/>
    <w:rsid w:val="00F15014"/>
    <w:rsid w:val="00F31B7B"/>
    <w:rsid w:val="00F65E55"/>
    <w:rsid w:val="00F66DD2"/>
    <w:rsid w:val="00F93CF7"/>
    <w:rsid w:val="00FD23CB"/>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822</Words>
  <Characters>4275</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7</cp:revision>
  <dcterms:created xsi:type="dcterms:W3CDTF">2026-05-11T01:54:00Z</dcterms:created>
  <dcterms:modified xsi:type="dcterms:W3CDTF">2026-05-25T03:11:00Z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